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04EA8" w14:textId="14C505A6" w:rsidR="000C5D0E" w:rsidRPr="000C5D0E" w:rsidRDefault="000C5D0E" w:rsidP="000C5D0E">
      <w:pPr>
        <w:jc w:val="center"/>
        <w:rPr>
          <w:b/>
          <w:bCs/>
          <w:sz w:val="28"/>
          <w:szCs w:val="28"/>
          <w:u w:val="single"/>
        </w:rPr>
      </w:pPr>
      <w:r w:rsidRPr="000C5D0E">
        <w:rPr>
          <w:b/>
          <w:bCs/>
          <w:sz w:val="28"/>
          <w:szCs w:val="28"/>
          <w:u w:val="single"/>
        </w:rPr>
        <w:t>Caractérisation de l</w:t>
      </w:r>
      <w:r w:rsidR="000E1679">
        <w:rPr>
          <w:b/>
          <w:bCs/>
          <w:sz w:val="28"/>
          <w:szCs w:val="28"/>
          <w:u w:val="single"/>
        </w:rPr>
        <w:t>a structure de la communauté</w:t>
      </w:r>
      <w:r w:rsidRPr="000C5D0E">
        <w:rPr>
          <w:b/>
          <w:bCs/>
          <w:sz w:val="28"/>
          <w:szCs w:val="28"/>
          <w:u w:val="single"/>
        </w:rPr>
        <w:t xml:space="preserve"> phytoplanctonique</w:t>
      </w:r>
      <w:r w:rsidR="000E1679">
        <w:rPr>
          <w:b/>
          <w:bCs/>
          <w:sz w:val="28"/>
          <w:szCs w:val="28"/>
          <w:u w:val="single"/>
        </w:rPr>
        <w:t xml:space="preserve"> en utilisant des observations in-situ</w:t>
      </w:r>
      <w:r w:rsidRPr="000C5D0E">
        <w:rPr>
          <w:b/>
          <w:bCs/>
          <w:sz w:val="28"/>
          <w:szCs w:val="28"/>
          <w:u w:val="single"/>
        </w:rPr>
        <w:t xml:space="preserve"> </w:t>
      </w:r>
    </w:p>
    <w:p w14:paraId="4C540D5E" w14:textId="77777777" w:rsidR="003940E7" w:rsidRPr="00B24498" w:rsidRDefault="0007492C" w:rsidP="008B4BEC">
      <w:pPr>
        <w:jc w:val="both"/>
      </w:pPr>
      <w:r>
        <w:t>L’</w:t>
      </w:r>
      <w:r w:rsidR="008B4BEC">
        <w:t>étude</w:t>
      </w:r>
      <w:r>
        <w:t xml:space="preserve"> de cas consiste en la caractérisation de l</w:t>
      </w:r>
      <w:r w:rsidR="007E6CA8">
        <w:t>a structure de la communauté</w:t>
      </w:r>
      <w:r>
        <w:t xml:space="preserve"> </w:t>
      </w:r>
      <w:r w:rsidR="008B4BEC">
        <w:t>phytoplanctonique</w:t>
      </w:r>
      <w:r>
        <w:t xml:space="preserve"> </w:t>
      </w:r>
      <w:r w:rsidR="007E6CA8">
        <w:t xml:space="preserve">en utilisant des </w:t>
      </w:r>
      <w:r w:rsidR="00A31A38">
        <w:t>données d’observations</w:t>
      </w:r>
      <w:r w:rsidR="00C95CAE">
        <w:t xml:space="preserve"> </w:t>
      </w:r>
      <w:r w:rsidR="007E6CA8">
        <w:t>in-</w:t>
      </w:r>
      <w:r w:rsidR="007E6CA8" w:rsidRPr="00B24498">
        <w:t>situ diverses.</w:t>
      </w:r>
    </w:p>
    <w:p w14:paraId="10F67425" w14:textId="5ED7A946" w:rsidR="00A31A38" w:rsidRPr="00B24498" w:rsidRDefault="00125BA4" w:rsidP="008B4BEC">
      <w:pPr>
        <w:jc w:val="both"/>
      </w:pPr>
      <w:r w:rsidRPr="00B24498">
        <w:t>Le phytoplancton est l’ensemble des organismes unicellulaire</w:t>
      </w:r>
      <w:r w:rsidR="00890937" w:rsidRPr="00B24498">
        <w:t>s végétaux</w:t>
      </w:r>
      <w:r w:rsidRPr="00B24498">
        <w:t xml:space="preserve">, </w:t>
      </w:r>
      <w:r w:rsidR="003940E7" w:rsidRPr="00B24498">
        <w:t>contributeur</w:t>
      </w:r>
      <w:r w:rsidRPr="00B24498">
        <w:t xml:space="preserve"> </w:t>
      </w:r>
      <w:r w:rsidR="003940E7" w:rsidRPr="00B24498">
        <w:t>à</w:t>
      </w:r>
      <w:r w:rsidRPr="00B24498">
        <w:t xml:space="preserve"> la régulation du CO2 atmosphérique grâce à </w:t>
      </w:r>
      <w:r w:rsidR="003940E7" w:rsidRPr="00B24498">
        <w:t>sa capacité de faire la</w:t>
      </w:r>
      <w:r w:rsidRPr="00B24498">
        <w:t xml:space="preserve"> photosynthèse sur la surface des océans. Cette photosynthèse est assuré</w:t>
      </w:r>
      <w:r w:rsidR="00890937" w:rsidRPr="00B24498">
        <w:t>e</w:t>
      </w:r>
      <w:r w:rsidRPr="00B24498">
        <w:t xml:space="preserve"> par la Chlorophylle-a, le pigment majeur présent dans la cellule phytoplanctonique. La variabilité du phytoplancton sur la surface des océans est saisonnière et consiste en une succession de différents </w:t>
      </w:r>
      <w:r w:rsidR="003940E7" w:rsidRPr="00B24498">
        <w:t>groupes</w:t>
      </w:r>
      <w:r w:rsidR="00414AF7" w:rsidRPr="00B24498">
        <w:t xml:space="preserve"> formant une communauté</w:t>
      </w:r>
      <w:r w:rsidRPr="00B24498">
        <w:t>, tel que les diatomées, les coccolithophores, etc. Associés à la Chlorophylle-a, il existe</w:t>
      </w:r>
      <w:r w:rsidR="003940E7" w:rsidRPr="00B24498">
        <w:t xml:space="preserve"> aussi</w:t>
      </w:r>
      <w:r w:rsidRPr="00B24498">
        <w:t xml:space="preserve"> d’autre</w:t>
      </w:r>
      <w:r w:rsidR="00890937" w:rsidRPr="00B24498">
        <w:t>s</w:t>
      </w:r>
      <w:r w:rsidRPr="00B24498">
        <w:t xml:space="preserve"> pigments phytoplanctoniques</w:t>
      </w:r>
      <w:r w:rsidR="003940E7" w:rsidRPr="00B24498">
        <w:t>,</w:t>
      </w:r>
      <w:r w:rsidRPr="00B24498">
        <w:t xml:space="preserve"> et leurs concentrations diffèrent d’un groupe à un autre.</w:t>
      </w:r>
      <w:r w:rsidR="003940E7" w:rsidRPr="00B24498">
        <w:t xml:space="preserve"> Ceci laisse entrevoir la possibilité d’identifier les groupes de phytoplancton à partir de la composition en pigments.</w:t>
      </w:r>
    </w:p>
    <w:p w14:paraId="072834B0" w14:textId="0883B912" w:rsidR="00607B42" w:rsidRPr="00607B42" w:rsidRDefault="00607B42" w:rsidP="00C95CAE">
      <w:pPr>
        <w:jc w:val="both"/>
        <w:rPr>
          <w:b/>
          <w:u w:val="single"/>
        </w:rPr>
      </w:pPr>
      <w:r w:rsidRPr="00607B42">
        <w:rPr>
          <w:b/>
          <w:u w:val="single"/>
        </w:rPr>
        <w:t>Présentation des données :</w:t>
      </w:r>
    </w:p>
    <w:p w14:paraId="04A14C0A" w14:textId="67DF9371" w:rsidR="00C95CAE" w:rsidRPr="00B24498" w:rsidRDefault="00C95CAE" w:rsidP="00C95CAE">
      <w:pPr>
        <w:jc w:val="both"/>
      </w:pPr>
      <w:r w:rsidRPr="00B24498">
        <w:t xml:space="preserve">Pour cette étude, nous aurons recours à des observations qui portent sur </w:t>
      </w:r>
      <w:r w:rsidR="00890937" w:rsidRPr="00B24498">
        <w:t>les</w:t>
      </w:r>
      <w:r w:rsidR="00125BA4" w:rsidRPr="00B24498">
        <w:t xml:space="preserve"> </w:t>
      </w:r>
      <w:r w:rsidRPr="00B24498">
        <w:t>concentration</w:t>
      </w:r>
      <w:r w:rsidR="00890937" w:rsidRPr="00B24498">
        <w:t>s</w:t>
      </w:r>
      <w:r w:rsidRPr="00B24498">
        <w:t xml:space="preserve"> de 10 pigm</w:t>
      </w:r>
      <w:r w:rsidR="00890937" w:rsidRPr="00B24498">
        <w:t>ents phytoplanctoniques prélevée</w:t>
      </w:r>
      <w:r w:rsidRPr="00B24498">
        <w:t>s lors de plusieurs campagnes de mesure effectuées sur environ 9000 stations de mesure réparties sur l’océan global.</w:t>
      </w:r>
    </w:p>
    <w:p w14:paraId="5CD63A1F" w14:textId="7F72C2C8" w:rsidR="00C95CAE" w:rsidRDefault="00C95CAE" w:rsidP="00C95CAE">
      <w:pPr>
        <w:jc w:val="both"/>
      </w:pPr>
      <w:r>
        <w:t>Par ailleurs</w:t>
      </w:r>
      <w:r w:rsidR="00890937">
        <w:t>,</w:t>
      </w:r>
      <w:r>
        <w:t xml:space="preserve"> la campagne Tara a permis d’effectuer le même type de mesure</w:t>
      </w:r>
      <w:r w:rsidR="00890937">
        <w:t>s</w:t>
      </w:r>
      <w:r>
        <w:t xml:space="preserve"> en 210</w:t>
      </w:r>
      <w:r w:rsidR="00047446">
        <w:t xml:space="preserve"> stations</w:t>
      </w:r>
      <w:r>
        <w:t>. La base de données issue de cette expérience a été enrichie par un travail d’expe</w:t>
      </w:r>
      <w:r w:rsidRPr="00047446">
        <w:t>rt</w:t>
      </w:r>
      <w:r w:rsidR="00890937" w:rsidRPr="00047446">
        <w:t>s</w:t>
      </w:r>
      <w:r>
        <w:t xml:space="preserve"> généticiens qui a abouti à la détermination de </w:t>
      </w:r>
      <w:r w:rsidR="00BD5258">
        <w:t>groupes de phytoplancton</w:t>
      </w:r>
      <w:r>
        <w:t>.</w:t>
      </w:r>
    </w:p>
    <w:p w14:paraId="1FB02090" w14:textId="340AF962" w:rsidR="00C95CAE" w:rsidRDefault="00C95CAE" w:rsidP="00C95CAE">
      <w:pPr>
        <w:jc w:val="both"/>
      </w:pPr>
      <w:r>
        <w:t xml:space="preserve">Potentiellement, en utilisant </w:t>
      </w:r>
      <w:r w:rsidR="00BD5258">
        <w:t xml:space="preserve">la </w:t>
      </w:r>
      <w:r>
        <w:t>base de données</w:t>
      </w:r>
      <w:r w:rsidR="00BD5258">
        <w:t xml:space="preserve"> globale contenant les</w:t>
      </w:r>
      <w:r>
        <w:t xml:space="preserve"> concentration</w:t>
      </w:r>
      <w:r w:rsidR="00BD5258">
        <w:t>s</w:t>
      </w:r>
      <w:r>
        <w:t xml:space="preserve"> de pigments, des outils méthodol</w:t>
      </w:r>
      <w:r w:rsidR="00890937">
        <w:t>ogiques pourront être dével</w:t>
      </w:r>
      <w:r w:rsidR="00890937" w:rsidRPr="00047446">
        <w:t>oppés</w:t>
      </w:r>
      <w:r>
        <w:t xml:space="preserve"> pour caractériser </w:t>
      </w:r>
      <w:r w:rsidR="00414AF7">
        <w:t>la structure de la communauté phyto</w:t>
      </w:r>
      <w:r>
        <w:t xml:space="preserve">planctonique à l’échelle globale. </w:t>
      </w:r>
      <w:r w:rsidR="00BD5258">
        <w:t>On pourra également utiliser la base de données Tara pour enrichir les analyses.</w:t>
      </w:r>
    </w:p>
    <w:p w14:paraId="42DDF02E" w14:textId="25B441D8" w:rsidR="00C95CAE" w:rsidRDefault="00C95CAE" w:rsidP="00C95CAE">
      <w:pPr>
        <w:jc w:val="both"/>
      </w:pPr>
      <w:r>
        <w:t>Base de données :</w:t>
      </w:r>
    </w:p>
    <w:p w14:paraId="590786AC" w14:textId="7729349F" w:rsidR="00047446" w:rsidRDefault="00047446" w:rsidP="00047446">
      <w:pPr>
        <w:pStyle w:val="Paragraphedeliste"/>
        <w:numPr>
          <w:ilvl w:val="0"/>
          <w:numId w:val="7"/>
        </w:numPr>
        <w:jc w:val="both"/>
      </w:pPr>
      <w:r>
        <w:t>Base de données Globale :</w:t>
      </w:r>
    </w:p>
    <w:p w14:paraId="10C64ABB" w14:textId="77777777" w:rsidR="00047446" w:rsidRDefault="00047446" w:rsidP="00047446">
      <w:pPr>
        <w:pStyle w:val="Paragraphedeliste"/>
        <w:jc w:val="both"/>
      </w:pPr>
      <w:r>
        <w:t>9000 stations de mesure</w:t>
      </w:r>
    </w:p>
    <w:p w14:paraId="0F4EB1CC" w14:textId="1EE2B0BA" w:rsidR="00047446" w:rsidRDefault="00047446" w:rsidP="00C95CAE">
      <w:pPr>
        <w:pStyle w:val="Paragraphedeliste"/>
        <w:numPr>
          <w:ilvl w:val="0"/>
          <w:numId w:val="3"/>
        </w:numPr>
        <w:jc w:val="both"/>
      </w:pPr>
      <w:r w:rsidRPr="00890937">
        <w:rPr>
          <w:b/>
        </w:rPr>
        <w:t>Concentration de 10 pigments Phytoplanctoniques</w:t>
      </w:r>
      <w:r>
        <w:t xml:space="preserve"> : </w:t>
      </w:r>
      <w:r w:rsidRPr="003940E7">
        <w:t xml:space="preserve">Chlorophylle-a Totale, </w:t>
      </w:r>
      <w:proofErr w:type="spellStart"/>
      <w:r w:rsidRPr="003940E7">
        <w:t>Divynil</w:t>
      </w:r>
      <w:proofErr w:type="spellEnd"/>
      <w:r w:rsidRPr="003940E7">
        <w:t xml:space="preserve"> Chlorophylle-a, Chlorophylle-b, </w:t>
      </w:r>
      <w:proofErr w:type="spellStart"/>
      <w:r w:rsidRPr="003940E7">
        <w:t>Divynil</w:t>
      </w:r>
      <w:proofErr w:type="spellEnd"/>
      <w:r w:rsidRPr="003940E7">
        <w:t xml:space="preserve">-Chlorophylle-b, </w:t>
      </w:r>
      <w:proofErr w:type="spellStart"/>
      <w:r w:rsidRPr="003940E7">
        <w:t>Hexfucoxanthine</w:t>
      </w:r>
      <w:proofErr w:type="spellEnd"/>
      <w:r w:rsidRPr="003940E7">
        <w:t xml:space="preserve">, </w:t>
      </w:r>
      <w:proofErr w:type="spellStart"/>
      <w:r w:rsidRPr="003940E7">
        <w:t>Butfucoxanthine</w:t>
      </w:r>
      <w:proofErr w:type="spellEnd"/>
      <w:r w:rsidRPr="003940E7">
        <w:t xml:space="preserve">, Fucoxanthine, </w:t>
      </w:r>
      <w:proofErr w:type="spellStart"/>
      <w:r w:rsidRPr="003940E7">
        <w:t>Peridinine</w:t>
      </w:r>
      <w:proofErr w:type="spellEnd"/>
      <w:r w:rsidRPr="003940E7">
        <w:t xml:space="preserve">, </w:t>
      </w:r>
      <w:proofErr w:type="spellStart"/>
      <w:r w:rsidRPr="003940E7">
        <w:t>Alloxanthine</w:t>
      </w:r>
      <w:proofErr w:type="spellEnd"/>
      <w:r w:rsidRPr="003940E7">
        <w:t xml:space="preserve">, </w:t>
      </w:r>
      <w:proofErr w:type="spellStart"/>
      <w:r w:rsidRPr="003940E7">
        <w:t>Zeaxanthine</w:t>
      </w:r>
      <w:proofErr w:type="spellEnd"/>
      <w:r w:rsidRPr="003940E7">
        <w:t>.</w:t>
      </w:r>
    </w:p>
    <w:p w14:paraId="5753F392" w14:textId="4E59B189" w:rsidR="00C95CAE" w:rsidRDefault="00C95CAE" w:rsidP="00047446">
      <w:pPr>
        <w:pStyle w:val="Paragraphedeliste"/>
        <w:numPr>
          <w:ilvl w:val="0"/>
          <w:numId w:val="7"/>
        </w:numPr>
        <w:jc w:val="both"/>
      </w:pPr>
      <w:r>
        <w:t xml:space="preserve">Tara </w:t>
      </w:r>
      <w:proofErr w:type="spellStart"/>
      <w:r>
        <w:t>Oceans</w:t>
      </w:r>
      <w:proofErr w:type="spellEnd"/>
      <w:r>
        <w:t> :</w:t>
      </w:r>
    </w:p>
    <w:p w14:paraId="4AB4003B" w14:textId="77777777" w:rsidR="00C95CAE" w:rsidRDefault="00C95CAE" w:rsidP="00C95CAE">
      <w:pPr>
        <w:pStyle w:val="Paragraphedeliste"/>
        <w:jc w:val="both"/>
      </w:pPr>
      <w:r>
        <w:t>210 stations de mesure</w:t>
      </w:r>
    </w:p>
    <w:p w14:paraId="7679A941" w14:textId="79A28B96" w:rsidR="00C95CAE" w:rsidRDefault="00C95CAE" w:rsidP="00C95CAE">
      <w:pPr>
        <w:pStyle w:val="Paragraphedeliste"/>
        <w:numPr>
          <w:ilvl w:val="0"/>
          <w:numId w:val="3"/>
        </w:numPr>
        <w:jc w:val="both"/>
      </w:pPr>
      <w:r w:rsidRPr="00890937">
        <w:rPr>
          <w:b/>
        </w:rPr>
        <w:t xml:space="preserve">Abondance relative de </w:t>
      </w:r>
      <w:r w:rsidR="00BD5258" w:rsidRPr="00890937">
        <w:rPr>
          <w:b/>
        </w:rPr>
        <w:t>7</w:t>
      </w:r>
      <w:r w:rsidRPr="00890937">
        <w:rPr>
          <w:b/>
        </w:rPr>
        <w:t xml:space="preserve"> group</w:t>
      </w:r>
      <w:r w:rsidR="00BD5258" w:rsidRPr="00890937">
        <w:rPr>
          <w:b/>
        </w:rPr>
        <w:t>e</w:t>
      </w:r>
      <w:r w:rsidRPr="00890937">
        <w:rPr>
          <w:b/>
        </w:rPr>
        <w:t>s de phytoplancton</w:t>
      </w:r>
      <w:r w:rsidR="00A31A38">
        <w:t xml:space="preserve"> : Diatomées, Dinoflagellés, coccolithophores, </w:t>
      </w:r>
      <w:proofErr w:type="spellStart"/>
      <w:r w:rsidR="00A31A38">
        <w:t>Prochlorococcus</w:t>
      </w:r>
      <w:proofErr w:type="spellEnd"/>
      <w:r w:rsidR="00A31A38">
        <w:t xml:space="preserve">, </w:t>
      </w:r>
      <w:proofErr w:type="spellStart"/>
      <w:r w:rsidR="00A31A38">
        <w:t>Synechococcus</w:t>
      </w:r>
      <w:proofErr w:type="spellEnd"/>
      <w:r w:rsidR="00A31A38">
        <w:t xml:space="preserve">, </w:t>
      </w:r>
      <w:proofErr w:type="spellStart"/>
      <w:r w:rsidR="00A31A38">
        <w:t>Haptophytes</w:t>
      </w:r>
      <w:proofErr w:type="spellEnd"/>
      <w:r w:rsidR="00A31A38">
        <w:t xml:space="preserve">, </w:t>
      </w:r>
      <w:proofErr w:type="spellStart"/>
      <w:r w:rsidR="00A31A38">
        <w:t>Chlorophytes</w:t>
      </w:r>
      <w:proofErr w:type="spellEnd"/>
      <w:r w:rsidR="00A31A38">
        <w:t>.</w:t>
      </w:r>
    </w:p>
    <w:p w14:paraId="6BD1E649" w14:textId="0E84FFDF" w:rsidR="00047446" w:rsidRDefault="00047446" w:rsidP="00C95CAE">
      <w:pPr>
        <w:pStyle w:val="Paragraphedeliste"/>
        <w:numPr>
          <w:ilvl w:val="0"/>
          <w:numId w:val="3"/>
        </w:numPr>
        <w:jc w:val="both"/>
      </w:pPr>
      <w:r>
        <w:rPr>
          <w:b/>
        </w:rPr>
        <w:t>Concentration des mêmes 10 pigments mentionnées dans la base de données globale</w:t>
      </w:r>
      <w:r w:rsidRPr="00047446">
        <w:t>.</w:t>
      </w:r>
    </w:p>
    <w:p w14:paraId="55A22466" w14:textId="77777777" w:rsidR="00A31A38" w:rsidRDefault="00A31A38" w:rsidP="00A31A38">
      <w:pPr>
        <w:pStyle w:val="Paragraphedeliste"/>
        <w:ind w:left="1440"/>
        <w:jc w:val="both"/>
      </w:pPr>
    </w:p>
    <w:p w14:paraId="3A5FD1D9" w14:textId="48157EB6" w:rsidR="00F429CF" w:rsidRDefault="00BD5258" w:rsidP="008B4BEC">
      <w:pPr>
        <w:jc w:val="both"/>
      </w:pPr>
      <w:r>
        <w:t>Il existe des relations très empiriques simples liant</w:t>
      </w:r>
      <w:r w:rsidR="00F61D20">
        <w:t xml:space="preserve"> </w:t>
      </w:r>
      <w:r w:rsidR="007E0235">
        <w:t>ces pigments avec un group</w:t>
      </w:r>
      <w:r>
        <w:t>e</w:t>
      </w:r>
      <w:r w:rsidR="007E0235">
        <w:t xml:space="preserve"> </w:t>
      </w:r>
      <w:r w:rsidR="00F81E6D">
        <w:t>spécifique</w:t>
      </w:r>
      <w:r>
        <w:t xml:space="preserve"> de phytoplancton</w:t>
      </w:r>
      <w:r w:rsidR="00A31A38">
        <w:t xml:space="preserve"> </w:t>
      </w:r>
      <w:r w:rsidR="00A31A38">
        <w:fldChar w:fldCharType="begin" w:fldLock="1"/>
      </w:r>
      <w:r w:rsidR="00A31A38">
        <w:instrText>ADDIN CSL_CITATION {"citationItems":[{"id":"ITEM-1","itemData":{"DOI":"10.5194/bg-8-311-2011","ISBN":"1726-4170","ISSN":"17264170","PMID":"287796800008","abstract":"Error-quantified, synoptic-scale relationships be-tween chlorophyll-a (Chl-a) and phytoplankton pigment groups at the sea surface are presented. A total of ten pig-ment groups were considered to represent three Phytoplank-ton Size Classes (PSCs, micro-, nano-and picoplankton) and seven Phytoplankton Functional Types (PFTs, i.e. diatoms, dinoflagellates, green algae, prymnesiophytes (haptophytes), pico-eukaryotes, prokaryotes and Prochlorococcus sp.). The observed relationships between Chl-a and PSCs/PFTs were well-defined at the global scale to show that a community shift of phytoplankton at the basin and global scales is re-flected by a change in Chl-a of the total community. Thus, Chl-a of the total community can be used as an index of not only phytoplankton biomass but also of their commu-nity structure. Within these relationships, we also found non-monotonic variations with Chl-a for certain pico-sized phy-toplankton (pico-eukaryotes, Prokaryotes and Prochlorococ-cus sp.) and nano-sized phytoplankton (Green algae, prym-nesiophytes). The relationships were quantified with a least-square fitting approach in order to enable an estimation of the PFTs from Chl-a where PFTs are expressed as a percentage Correspondence to: T. Hirata","author":[{"dropping-particle":"","family":"Hirata","given":"T.","non-dropping-particle":"","parse-names":false,"suffix":""},{"dropping-particle":"","family":"Hardman-Mountford","given":"N. J.","non-dropping-particle":"","parse-names":false,"suffix":""},{"dropping-particle":"","family":"Brewin","given":"R. J.W.","non-dropping-particle":"","parse-names":false,"suffix":""},{"dropping-particle":"","family":"Aiken","given":"J.","non-dropping-particle":"","parse-names":false,"suffix":""},{"dropping-particle":"","family":"Barlow","given":"R.","non-dropping-particle":"","parse-names":false,"suffix":""},{"dropping-particle":"","family":"Suzuki","given":"K.","non-dropping-particle":"","parse-names":false,"suffix":""},{"dropping-particle":"","family":"Isada","given":"T.","non-dropping-particle":"","parse-names":false,"suffix":""},{"dropping-particle":"","family":"Howell","given":"E.","non-dropping-particle":"","parse-names":false,"suffix":""},{"dropping-particle":"","family":"Hashioka","given":"T.","non-dropping-particle":"","parse-names":false,"suffix":""},{"dropping-particle":"","family":"Noguchi-Aita","given":"M.","non-dropping-particle":"","parse-names":false,"suffix":""},{"dropping-particle":"","family":"Yamanaka","given":"Y.","non-dropping-particle":"","parse-names":false,"suffix":""}],"container-title":"Biogeosciences","id":"ITEM-1","issue":"2","issued":{"date-parts":[["2011"]]},"page":"311-327","title":"Synoptic relationships between surface Chlorophyll-a and diagnostic pigments specific to phytoplankton functional types","type":"article-journal","volume":"8"},"uris":["http://www.mendeley.com/documents/?uuid=69f815ac-571a-3f6a-8246-8e07d5d05645"]},{"id":"ITEM-2","itemData":{"DOI":"10.1029/2005jc003207","ISBN":"0148-0227","ISSN":"0148-0227","abstract":"The present study examines the potential of using the near-surface chlorophyll a concentration ([Chla]surf), as it can be derived from ocean color observation, to infer the column-integrated phytoplankton biomass, its vertical distribution, and ultimately the community composition. Within this context, a large High-Performance Liquid Chromatography (HPLC) pigment database was analyzed. It includes 2419 vertical pigment profiles, sampled in case 1 waters with various trophic states (0.03&amp;#8211;6 mg Chla m&amp;#8722;3). The relationships between [Chla]surf and the chlorophyll a vertical distribution, as previously derived by Morel and Berthon (1989), are fully confirmed. This agreement makes it possible to go further and to examine if similar relationships between [Chla]surf and the phytoplankton assemblage composition along the vertical can be derived. Thanks to the detailed pigment composition, and use of specific pigment biomarkers, the contribution to the local chlorophyll a concentration of three phytoplankton groups can be assessed. With some cautions, these groups coincide with three size classes, i.e., microplankton, nanoplankton and picoplankton. Corroborating previous regional findings (e.g., large species dominate in eutrophic environments, whereas tiny phytoplankton prevail in oligotrophic zones), the present results lead to an empirical parameterization applicable to most oceanic waters. The predictive skill of this parameterization is satisfactorily tested on a separate data set. With such a tool, the vertical chlorophyll a profiles of each group can be inferred solely from the knowledge of [Chla]surf. By combining this tool with satellite ocean color data, it becomes possible to quantify on a global scale the phytoplankton biomass associated with each of the three algal assemblages.","author":[{"dropping-particle":"","family":"Uitz","given":"Julia","non-dropping-particle":"","parse-names":false,"suffix":""},{"dropping-particle":"","family":"Claustre","given":"Hervé","non-dropping-particle":"","parse-names":false,"suffix":""},{"dropping-particle":"","family":"Morel","given":"André","non-dropping-particle":"","parse-names":false,"suffix":""},{"dropping-particle":"","family":"Hooker","given":"Stanford B","non-dropping-particle":"","parse-names":false,"suffix":""}],"container-title":"J. Geophys. Res.","id":"ITEM-2","issue":"C8","issued":{"date-parts":[["2006"]]},"page":"C08005","title":"Vertical distribution of phytoplankton communities in open ocean: An assessment based on surface chlorophyll","type":"article-journal","volume":"111"},"uris":["http://www.mendeley.com/documents/?uuid=c84670d7-0a43-4300-9cb2-cf866dec9ba9"]},{"id":"ITEM-3","itemData":{"DOI":"10.1002/LOM3.10385","ISSN":"1541-5856","abstract":"Phytoplankton accessory pigments are commonly used to estimate phytoplankton size classes, particularly during development and validation of biogeochemical models and satellite ocean color-based algorithms. The diagnostic pigment analysis (DPA) is based on bulk measurements of pigment concentrations and relies on assumptions regarding the presence of specific pigments in different phytoplankton taxonomic groups. Three size classes are defined by the DPA: picoplankton, nanoplankton, and microplankton. Until now, the DPA has not been evaluated against an independent approach that provides phytoplankton size calculated on a per-cell basis. Automated quantitative cell imagery of microplankton and some nanoplankton, used in combination with conventional flow cytometry for enumeration of picoplankton and nanoplankton, provide a novel opportunity to perform an independent evaluation of the DPA. Here, we use a data set from the North Atlantic Ocean that encompasses all seasons and a wide range of chlorophyll concentrations (0.18–5.14 mg m−3). Results show that the DPA overestimates microplankton and picoplankton when compared to cytometry data, and subsequently underestimates the contribution of nanoplankton to total biomass. In contrast to the assumption made by the DPA that the microplankton size class is largely made up of diatoms and dinoflagellates, imaging-in-flow cytometry shows significant presence of diatoms and dinoflagellates in the nanoplankton size class. Additionally, chlorophyll b is commonly attributed solely to picoplankton by the DPA, but Chl b-containing phytoplankton are observed with imaging in both nanoplankton and microplankton size classes. We suggest revisions to the DPA equations and application of uncertainties when calculating size classes from diagnostic pigments.","author":[{"dropping-particle":"","family":"Chase","given":"Alison P.","non-dropping-particle":"","parse-names":false,"suffix":""},{"dropping-particle":"","family":"Kramer","given":"Sasha J.","non-dropping-particle":"","parse-names":false,"suffix":""},{"dropping-particle":"","family":"Haëntjens","given":"Nils","non-dropping-particle":"","parse-names":false,"suffix":""},{"dropping-particle":"","family":"Boss","given":"Emmanuel S.","non-dropping-particle":"","parse-names":false,"suffix":""},{"dropping-particle":"","family":"Karp-Boss","given":"Lee","non-dropping-particle":"","parse-names":false,"suffix":""},{"dropping-particle":"","family":"Edmondson","given":"Mimi","non-dropping-particle":"","parse-names":false,"suffix":""},{"dropping-particle":"","family":"Graff","given":"Jason R.","non-dropping-particle":"","parse-names":false,"suffix":""}],"container-title":"Limnology and Oceanography: Methods","id":"ITEM-3","issue":"10","issued":{"date-parts":[["2020","10","1"]]},"page":"570-584","publisher":"John Wiley &amp; Sons, Ltd","title":"Evaluation of diagnostic pigments to estimate phytoplankton size classes","type":"article-journal","volume":"18"},"uris":["http://www.mendeley.com/documents/?uuid=b116c65d-65b3-316f-b296-44a1a0e67fac"]}],"mendeley":{"formattedCitation":"(Uitz &lt;i&gt;et al.&lt;/i&gt;, 2006; Hirata &lt;i&gt;et al.&lt;/i&gt;, 2011; Chase &lt;i&gt;et al.&lt;/i&gt;, 2020)","manualFormatting":"(voir: Uitz et al., 2006; Hirata et al., 2011; Chase et al., 2020)","plainTextFormattedCitation":"(Uitz et al., 2006; Hirata et al., 2011; Chase et al., 2020)"},"properties":{"noteIndex":0},"schema":"https://github.com/citation-style-language/schema/raw/master/csl-citation.json"}</w:instrText>
      </w:r>
      <w:r w:rsidR="00A31A38">
        <w:fldChar w:fldCharType="separate"/>
      </w:r>
      <w:r w:rsidR="00A31A38" w:rsidRPr="00A31A38">
        <w:rPr>
          <w:noProof/>
        </w:rPr>
        <w:t>(</w:t>
      </w:r>
      <w:r w:rsidR="00A31A38">
        <w:rPr>
          <w:noProof/>
        </w:rPr>
        <w:t xml:space="preserve">voir: </w:t>
      </w:r>
      <w:r w:rsidR="00A31A38" w:rsidRPr="00A31A38">
        <w:rPr>
          <w:noProof/>
        </w:rPr>
        <w:t xml:space="preserve">Uitz </w:t>
      </w:r>
      <w:r w:rsidR="00A31A38" w:rsidRPr="00A31A38">
        <w:rPr>
          <w:i/>
          <w:noProof/>
        </w:rPr>
        <w:t>et al.</w:t>
      </w:r>
      <w:r w:rsidR="00A31A38" w:rsidRPr="00A31A38">
        <w:rPr>
          <w:noProof/>
        </w:rPr>
        <w:t xml:space="preserve">, 2006; Hirata </w:t>
      </w:r>
      <w:r w:rsidR="00A31A38" w:rsidRPr="00A31A38">
        <w:rPr>
          <w:i/>
          <w:noProof/>
        </w:rPr>
        <w:t>et al.</w:t>
      </w:r>
      <w:r w:rsidR="00A31A38" w:rsidRPr="00A31A38">
        <w:rPr>
          <w:noProof/>
        </w:rPr>
        <w:t xml:space="preserve">, 2011; Chase </w:t>
      </w:r>
      <w:r w:rsidR="00A31A38" w:rsidRPr="00A31A38">
        <w:rPr>
          <w:i/>
          <w:noProof/>
        </w:rPr>
        <w:t>et al.</w:t>
      </w:r>
      <w:r w:rsidR="00A31A38" w:rsidRPr="00A31A38">
        <w:rPr>
          <w:noProof/>
        </w:rPr>
        <w:t>, 2020)</w:t>
      </w:r>
      <w:r w:rsidR="00A31A38">
        <w:fldChar w:fldCharType="end"/>
      </w:r>
      <w:r w:rsidR="00612801">
        <w:t>.</w:t>
      </w:r>
    </w:p>
    <w:p w14:paraId="41174875" w14:textId="4F94B75E" w:rsidR="00D83BF8" w:rsidRPr="001B757B" w:rsidRDefault="00D83BF8" w:rsidP="008B4BEC">
      <w:pPr>
        <w:jc w:val="both"/>
        <w:rPr>
          <w:b/>
          <w:bCs/>
        </w:rPr>
      </w:pPr>
      <w:r w:rsidRPr="001B757B">
        <w:rPr>
          <w:b/>
          <w:bCs/>
        </w:rPr>
        <w:t xml:space="preserve">L’objectif de cette étude de cas est de mener une étude plus approfondie de ces données dans le but de trouver des relations </w:t>
      </w:r>
      <w:r w:rsidR="001B757B" w:rsidRPr="001B757B">
        <w:rPr>
          <w:b/>
          <w:bCs/>
        </w:rPr>
        <w:t>inter-</w:t>
      </w:r>
      <w:r w:rsidRPr="001B757B">
        <w:rPr>
          <w:b/>
          <w:bCs/>
        </w:rPr>
        <w:t>pigment</w:t>
      </w:r>
      <w:r w:rsidR="001B757B" w:rsidRPr="001B757B">
        <w:rPr>
          <w:b/>
          <w:bCs/>
        </w:rPr>
        <w:t>aires à aspect régional, et</w:t>
      </w:r>
      <w:r w:rsidRPr="001B757B">
        <w:rPr>
          <w:b/>
          <w:bCs/>
        </w:rPr>
        <w:t xml:space="preserve"> </w:t>
      </w:r>
      <w:r w:rsidR="001B757B" w:rsidRPr="001B757B">
        <w:rPr>
          <w:b/>
          <w:bCs/>
        </w:rPr>
        <w:t xml:space="preserve">potentiellement aussi avec </w:t>
      </w:r>
      <w:r w:rsidRPr="001B757B">
        <w:rPr>
          <w:b/>
          <w:bCs/>
        </w:rPr>
        <w:t xml:space="preserve">les groupes de phytoplancton. </w:t>
      </w:r>
    </w:p>
    <w:p w14:paraId="53A547DE" w14:textId="44D5C303" w:rsidR="00A35CA5" w:rsidRPr="00607B42" w:rsidRDefault="004E6627">
      <w:pPr>
        <w:rPr>
          <w:b/>
          <w:bCs/>
          <w:u w:val="single"/>
        </w:rPr>
      </w:pPr>
      <w:r w:rsidRPr="00607B42">
        <w:rPr>
          <w:b/>
          <w:bCs/>
          <w:u w:val="single"/>
        </w:rPr>
        <w:lastRenderedPageBreak/>
        <w:t>Références</w:t>
      </w:r>
      <w:r w:rsidR="008B4BEC" w:rsidRPr="00607B42">
        <w:rPr>
          <w:b/>
          <w:bCs/>
          <w:u w:val="single"/>
        </w:rPr>
        <w:t xml:space="preserve"> potentielle</w:t>
      </w:r>
      <w:r w:rsidRPr="00607B42">
        <w:rPr>
          <w:b/>
          <w:bCs/>
          <w:u w:val="single"/>
        </w:rPr>
        <w:t>s</w:t>
      </w:r>
      <w:r w:rsidR="008B4BEC" w:rsidRPr="00607B42">
        <w:rPr>
          <w:b/>
          <w:bCs/>
          <w:u w:val="single"/>
        </w:rPr>
        <w:t xml:space="preserve"> pour</w:t>
      </w:r>
      <w:r w:rsidR="00607B42">
        <w:rPr>
          <w:b/>
          <w:bCs/>
          <w:u w:val="single"/>
        </w:rPr>
        <w:t xml:space="preserve"> </w:t>
      </w:r>
      <w:r w:rsidR="001B757B">
        <w:rPr>
          <w:b/>
          <w:bCs/>
          <w:u w:val="single"/>
        </w:rPr>
        <w:t>inspiration</w:t>
      </w:r>
      <w:r w:rsidR="001B757B" w:rsidRPr="00607B42">
        <w:rPr>
          <w:b/>
          <w:bCs/>
          <w:u w:val="single"/>
        </w:rPr>
        <w:t xml:space="preserve"> :</w:t>
      </w:r>
    </w:p>
    <w:p w14:paraId="345D63AA" w14:textId="7C610098" w:rsidR="00A31A38" w:rsidRPr="00B24498" w:rsidRDefault="00A35CA5" w:rsidP="00A31A38">
      <w:pPr>
        <w:widowControl w:val="0"/>
        <w:autoSpaceDE w:val="0"/>
        <w:autoSpaceDN w:val="0"/>
        <w:adjustRightInd w:val="0"/>
        <w:spacing w:line="240" w:lineRule="auto"/>
        <w:rPr>
          <w:rFonts w:ascii="Calibri" w:hAnsi="Calibri" w:cs="Calibri"/>
          <w:noProof/>
          <w:szCs w:val="24"/>
          <w:lang w:val="en-US"/>
        </w:rPr>
      </w:pPr>
      <w:r w:rsidRPr="000E7471">
        <w:fldChar w:fldCharType="begin" w:fldLock="1"/>
      </w:r>
      <w:r w:rsidRPr="000E7471">
        <w:instrText xml:space="preserve">ADDIN Mendeley Bibliography CSL_BIBLIOGRAPHY </w:instrText>
      </w:r>
      <w:r w:rsidRPr="000E7471">
        <w:fldChar w:fldCharType="separate"/>
      </w:r>
      <w:r w:rsidR="00A31A38" w:rsidRPr="00A31A38">
        <w:rPr>
          <w:rFonts w:ascii="Calibri" w:hAnsi="Calibri" w:cs="Calibri"/>
          <w:noProof/>
          <w:szCs w:val="24"/>
        </w:rPr>
        <w:t xml:space="preserve">Chase, A. P. </w:t>
      </w:r>
      <w:r w:rsidR="00A31A38" w:rsidRPr="00A31A38">
        <w:rPr>
          <w:rFonts w:ascii="Calibri" w:hAnsi="Calibri" w:cs="Calibri"/>
          <w:i/>
          <w:iCs/>
          <w:noProof/>
          <w:szCs w:val="24"/>
        </w:rPr>
        <w:t>et al.</w:t>
      </w:r>
      <w:r w:rsidR="00A31A38" w:rsidRPr="00A31A38">
        <w:rPr>
          <w:rFonts w:ascii="Calibri" w:hAnsi="Calibri" w:cs="Calibri"/>
          <w:noProof/>
          <w:szCs w:val="24"/>
        </w:rPr>
        <w:t xml:space="preserve"> </w:t>
      </w:r>
      <w:r w:rsidR="00A31A38" w:rsidRPr="00B24498">
        <w:rPr>
          <w:rFonts w:ascii="Calibri" w:hAnsi="Calibri" w:cs="Calibri"/>
          <w:noProof/>
          <w:szCs w:val="24"/>
          <w:lang w:val="en-US"/>
        </w:rPr>
        <w:t xml:space="preserve">(2020) ‘Evaluation of diagnostic pigments to estimate phytoplankton size classes’, </w:t>
      </w:r>
      <w:r w:rsidR="00A31A38" w:rsidRPr="00B24498">
        <w:rPr>
          <w:rFonts w:ascii="Calibri" w:hAnsi="Calibri" w:cs="Calibri"/>
          <w:i/>
          <w:iCs/>
          <w:noProof/>
          <w:szCs w:val="24"/>
          <w:lang w:val="en-US"/>
        </w:rPr>
        <w:t>Limnology and Oceanography: Methods</w:t>
      </w:r>
      <w:r w:rsidR="00A31A38" w:rsidRPr="00B24498">
        <w:rPr>
          <w:rFonts w:ascii="Calibri" w:hAnsi="Calibri" w:cs="Calibri"/>
          <w:noProof/>
          <w:szCs w:val="24"/>
          <w:lang w:val="en-US"/>
        </w:rPr>
        <w:t>, 18(10), pp. 570–584. doi: 10.1002/LOM3.10385.</w:t>
      </w:r>
    </w:p>
    <w:p w14:paraId="7DC52F05" w14:textId="77777777" w:rsidR="00A31A38" w:rsidRPr="00B24498" w:rsidRDefault="00A31A38" w:rsidP="00A31A38">
      <w:pPr>
        <w:widowControl w:val="0"/>
        <w:autoSpaceDE w:val="0"/>
        <w:autoSpaceDN w:val="0"/>
        <w:adjustRightInd w:val="0"/>
        <w:spacing w:line="240" w:lineRule="auto"/>
        <w:rPr>
          <w:rFonts w:ascii="Calibri" w:hAnsi="Calibri" w:cs="Calibri"/>
          <w:noProof/>
          <w:szCs w:val="24"/>
          <w:lang w:val="en-US"/>
        </w:rPr>
      </w:pPr>
      <w:r w:rsidRPr="00B24498">
        <w:rPr>
          <w:rFonts w:ascii="Calibri" w:hAnsi="Calibri" w:cs="Calibri"/>
          <w:noProof/>
          <w:szCs w:val="24"/>
          <w:lang w:val="en-US"/>
        </w:rPr>
        <w:t xml:space="preserve">Hirata, T. </w:t>
      </w:r>
      <w:r w:rsidRPr="00B24498">
        <w:rPr>
          <w:rFonts w:ascii="Calibri" w:hAnsi="Calibri" w:cs="Calibri"/>
          <w:i/>
          <w:iCs/>
          <w:noProof/>
          <w:szCs w:val="24"/>
          <w:lang w:val="en-US"/>
        </w:rPr>
        <w:t>et al.</w:t>
      </w:r>
      <w:r w:rsidRPr="00B24498">
        <w:rPr>
          <w:rFonts w:ascii="Calibri" w:hAnsi="Calibri" w:cs="Calibri"/>
          <w:noProof/>
          <w:szCs w:val="24"/>
          <w:lang w:val="en-US"/>
        </w:rPr>
        <w:t xml:space="preserve"> (2011) ‘Synoptic relationships between surface Chlorophyll-a and diagnostic pigments specific to phytoplankton functional types’, </w:t>
      </w:r>
      <w:r w:rsidRPr="00B24498">
        <w:rPr>
          <w:rFonts w:ascii="Calibri" w:hAnsi="Calibri" w:cs="Calibri"/>
          <w:i/>
          <w:iCs/>
          <w:noProof/>
          <w:szCs w:val="24"/>
          <w:lang w:val="en-US"/>
        </w:rPr>
        <w:t>Biogeosciences</w:t>
      </w:r>
      <w:r w:rsidRPr="00B24498">
        <w:rPr>
          <w:rFonts w:ascii="Calibri" w:hAnsi="Calibri" w:cs="Calibri"/>
          <w:noProof/>
          <w:szCs w:val="24"/>
          <w:lang w:val="en-US"/>
        </w:rPr>
        <w:t>, 8(2), pp. 311–327. doi: 10.5194/bg-8-311-2011.</w:t>
      </w:r>
    </w:p>
    <w:p w14:paraId="10A9D0D9" w14:textId="77777777" w:rsidR="00A31A38" w:rsidRPr="00A31A38" w:rsidRDefault="00A31A38" w:rsidP="00A31A38">
      <w:pPr>
        <w:widowControl w:val="0"/>
        <w:autoSpaceDE w:val="0"/>
        <w:autoSpaceDN w:val="0"/>
        <w:adjustRightInd w:val="0"/>
        <w:spacing w:line="240" w:lineRule="auto"/>
        <w:rPr>
          <w:rFonts w:ascii="Calibri" w:hAnsi="Calibri" w:cs="Calibri"/>
          <w:noProof/>
        </w:rPr>
      </w:pPr>
      <w:r w:rsidRPr="00B24498">
        <w:rPr>
          <w:rFonts w:ascii="Calibri" w:hAnsi="Calibri" w:cs="Calibri"/>
          <w:noProof/>
          <w:szCs w:val="24"/>
          <w:lang w:val="en-US"/>
        </w:rPr>
        <w:t xml:space="preserve">Uitz, J. </w:t>
      </w:r>
      <w:r w:rsidRPr="00B24498">
        <w:rPr>
          <w:rFonts w:ascii="Calibri" w:hAnsi="Calibri" w:cs="Calibri"/>
          <w:i/>
          <w:iCs/>
          <w:noProof/>
          <w:szCs w:val="24"/>
          <w:lang w:val="en-US"/>
        </w:rPr>
        <w:t>et al.</w:t>
      </w:r>
      <w:r w:rsidRPr="00B24498">
        <w:rPr>
          <w:rFonts w:ascii="Calibri" w:hAnsi="Calibri" w:cs="Calibri"/>
          <w:noProof/>
          <w:szCs w:val="24"/>
          <w:lang w:val="en-US"/>
        </w:rPr>
        <w:t xml:space="preserve"> (2006) ‘Vertical distribution of phytoplankton communities in open ocean: An assessment based on surface chlorophyll’, </w:t>
      </w:r>
      <w:r w:rsidRPr="00B24498">
        <w:rPr>
          <w:rFonts w:ascii="Calibri" w:hAnsi="Calibri" w:cs="Calibri"/>
          <w:i/>
          <w:iCs/>
          <w:noProof/>
          <w:szCs w:val="24"/>
          <w:lang w:val="en-US"/>
        </w:rPr>
        <w:t xml:space="preserve">J. Geophys. </w:t>
      </w:r>
      <w:r w:rsidRPr="00A31A38">
        <w:rPr>
          <w:rFonts w:ascii="Calibri" w:hAnsi="Calibri" w:cs="Calibri"/>
          <w:i/>
          <w:iCs/>
          <w:noProof/>
          <w:szCs w:val="24"/>
        </w:rPr>
        <w:t>Res.</w:t>
      </w:r>
      <w:r w:rsidRPr="00A31A38">
        <w:rPr>
          <w:rFonts w:ascii="Calibri" w:hAnsi="Calibri" w:cs="Calibri"/>
          <w:noProof/>
          <w:szCs w:val="24"/>
        </w:rPr>
        <w:t>, 111(C8), p. C08005. doi: 10.1029/2005jc003207.</w:t>
      </w:r>
    </w:p>
    <w:p w14:paraId="276474D1" w14:textId="02B67D32" w:rsidR="00A23B03" w:rsidRDefault="00A35CA5" w:rsidP="00A23B03">
      <w:r w:rsidRPr="000E7471">
        <w:fldChar w:fldCharType="end"/>
      </w:r>
      <w:r w:rsidR="00A23B03" w:rsidRPr="00A23B03">
        <w:t xml:space="preserve"> </w:t>
      </w:r>
      <w:r w:rsidR="00A23B03">
        <w:t>Planning :</w:t>
      </w:r>
    </w:p>
    <w:p w14:paraId="53E24FFD" w14:textId="0E5E0240" w:rsidR="00A23B03" w:rsidRDefault="00A23B03" w:rsidP="00A23B03">
      <w:r>
        <w:t xml:space="preserve">Pour le 7 novembre il vous est demandé de : </w:t>
      </w:r>
    </w:p>
    <w:p w14:paraId="2C23837D" w14:textId="77777777" w:rsidR="00A23B03" w:rsidRDefault="00A23B03" w:rsidP="00A23B03">
      <w:r>
        <w:t>1)</w:t>
      </w:r>
      <w:r>
        <w:tab/>
        <w:t xml:space="preserve"> lire les références pour avoir une idée du contexte général.</w:t>
      </w:r>
    </w:p>
    <w:p w14:paraId="69781F6F" w14:textId="5149A29D" w:rsidR="00A23B03" w:rsidRDefault="00A23B03" w:rsidP="00A23B03">
      <w:r>
        <w:t>Sur les deux bases de données</w:t>
      </w:r>
      <w:r w:rsidR="00D23D94">
        <w:t xml:space="preserve"> </w:t>
      </w:r>
    </w:p>
    <w:p w14:paraId="405ADB09" w14:textId="77777777" w:rsidR="00A23B03" w:rsidRDefault="00A23B03" w:rsidP="00A23B03">
      <w:r>
        <w:t>2)</w:t>
      </w:r>
      <w:r>
        <w:tab/>
        <w:t xml:space="preserve"> Effectuer les analyses exploratoires simples (univariées, bivariées) </w:t>
      </w:r>
    </w:p>
    <w:p w14:paraId="7891CFD1" w14:textId="77777777" w:rsidR="00A23B03" w:rsidRDefault="00A23B03" w:rsidP="00A23B03">
      <w:r>
        <w:t>3)</w:t>
      </w:r>
      <w:r>
        <w:tab/>
        <w:t>Compléter les données manquantes en utilisant différentes méthodes</w:t>
      </w:r>
    </w:p>
    <w:p w14:paraId="0CDE862E" w14:textId="77777777" w:rsidR="00A23B03" w:rsidRDefault="00A23B03" w:rsidP="00A23B03">
      <w:r>
        <w:t>4)</w:t>
      </w:r>
      <w:r>
        <w:tab/>
        <w:t xml:space="preserve">Effectuer des analyses exploratoires multivariées (clustering en utilisant éventuellement différentes méthodes). On fera également un clustering sur les deux bases réunies. </w:t>
      </w:r>
    </w:p>
    <w:p w14:paraId="4FCE52ED" w14:textId="77777777" w:rsidR="00A23B03" w:rsidRDefault="00A23B03" w:rsidP="00A23B03">
      <w:r>
        <w:t>5)</w:t>
      </w:r>
      <w:r>
        <w:tab/>
        <w:t>Comparer les partitions</w:t>
      </w:r>
    </w:p>
    <w:p w14:paraId="39501B20" w14:textId="77777777" w:rsidR="00A23B03" w:rsidRDefault="00A23B03" w:rsidP="00A23B03">
      <w:r>
        <w:t>6)</w:t>
      </w:r>
      <w:r>
        <w:tab/>
        <w:t xml:space="preserve">Rédiger un mini rapport de 3 pages au maximum sur le travail réalisé. Une attention particulière sera portée à la rédaction et à l’interprétation des résultats. </w:t>
      </w:r>
    </w:p>
    <w:p w14:paraId="512D69F9" w14:textId="77777777" w:rsidR="00A23B03" w:rsidRDefault="00A23B03" w:rsidP="00A23B03"/>
    <w:p w14:paraId="56475D02" w14:textId="77777777" w:rsidR="00A23B03" w:rsidRDefault="00A23B03" w:rsidP="00A23B03">
      <w:r>
        <w:t>Ce travail sera fait en binôme.</w:t>
      </w:r>
    </w:p>
    <w:p w14:paraId="0AC7F09E" w14:textId="24133485" w:rsidR="00A23B03" w:rsidRDefault="001009EC" w:rsidP="00A23B03">
      <w:r>
        <w:t xml:space="preserve">La séance du </w:t>
      </w:r>
      <w:r w:rsidR="00A23B03">
        <w:t>7 novembre sera consacrée à vos questions et éventuellement des méthodes qui pourraient être utilisées.</w:t>
      </w:r>
    </w:p>
    <w:p w14:paraId="0FD28904" w14:textId="1ADF28DC" w:rsidR="000241C9" w:rsidRDefault="000241C9" w:rsidP="00A23B03"/>
    <w:p w14:paraId="7E2F418E" w14:textId="75F2E948" w:rsidR="000241C9" w:rsidRDefault="000241C9" w:rsidP="00A23B03"/>
    <w:p w14:paraId="02EC6360" w14:textId="0CCDB03D" w:rsidR="000241C9" w:rsidRDefault="000241C9" w:rsidP="00A23B03">
      <w:r>
        <w:t xml:space="preserve">Référence 1 : </w:t>
      </w:r>
      <w:hyperlink r:id="rId6" w:history="1">
        <w:r w:rsidRPr="00842DA9">
          <w:rPr>
            <w:rStyle w:val="Lienhypertexte"/>
          </w:rPr>
          <w:t>https://aslopubs.onlinelibrary.wiley.com/doi/epdf/10.1002/lom3.10385</w:t>
        </w:r>
      </w:hyperlink>
    </w:p>
    <w:p w14:paraId="363FE6C7" w14:textId="77777777" w:rsidR="000241C9" w:rsidRDefault="000241C9" w:rsidP="00A23B03"/>
    <w:p w14:paraId="6C13414B" w14:textId="7E51D05D" w:rsidR="000241C9" w:rsidRDefault="000241C9" w:rsidP="000241C9">
      <w:pPr>
        <w:pStyle w:val="Paragraphedeliste"/>
        <w:numPr>
          <w:ilvl w:val="0"/>
          <w:numId w:val="8"/>
        </w:numPr>
      </w:pPr>
      <w:r>
        <w:t>Étude de la DPA jugée comme ayant des incertitudes, cette étude propose des corrections.</w:t>
      </w:r>
    </w:p>
    <w:p w14:paraId="3B01A903" w14:textId="0B7A40C3" w:rsidR="000241C9" w:rsidRDefault="000241C9" w:rsidP="000241C9">
      <w:pPr>
        <w:pStyle w:val="Paragraphedeliste"/>
        <w:numPr>
          <w:ilvl w:val="0"/>
          <w:numId w:val="8"/>
        </w:numPr>
      </w:pPr>
      <w:r>
        <w:t xml:space="preserve">3 classes de tailles : </w:t>
      </w:r>
      <w:proofErr w:type="spellStart"/>
      <w:r w:rsidRPr="000241C9">
        <w:t>picoplankton</w:t>
      </w:r>
      <w:proofErr w:type="spellEnd"/>
      <w:r w:rsidRPr="000241C9">
        <w:t xml:space="preserve">, </w:t>
      </w:r>
      <w:proofErr w:type="spellStart"/>
      <w:r w:rsidRPr="000241C9">
        <w:t>nanoplankton</w:t>
      </w:r>
      <w:proofErr w:type="spellEnd"/>
      <w:r w:rsidRPr="000241C9">
        <w:t xml:space="preserve">, and </w:t>
      </w:r>
      <w:proofErr w:type="spellStart"/>
      <w:r w:rsidRPr="000241C9">
        <w:t>microplankton</w:t>
      </w:r>
      <w:proofErr w:type="spellEnd"/>
    </w:p>
    <w:p w14:paraId="109972AE" w14:textId="652A720E" w:rsidR="000241C9" w:rsidRDefault="000241C9" w:rsidP="000241C9">
      <w:pPr>
        <w:pStyle w:val="Paragraphedeliste"/>
        <w:numPr>
          <w:ilvl w:val="0"/>
          <w:numId w:val="8"/>
        </w:numPr>
      </w:pPr>
      <w:r>
        <w:t>E</w:t>
      </w:r>
      <w:r w:rsidRPr="000241C9">
        <w:t>nsemble de données provenant de l'océan Atlantique Nord qui englobe toutes les saisons et une large gamme de concentrations de chlorophylle (0,18-5,14 mg m-3).</w:t>
      </w:r>
    </w:p>
    <w:p w14:paraId="68340C79" w14:textId="7F95F3AE" w:rsidR="000241C9" w:rsidRDefault="000241C9" w:rsidP="000241C9">
      <w:pPr>
        <w:pStyle w:val="Paragraphedeliste"/>
        <w:numPr>
          <w:ilvl w:val="0"/>
          <w:numId w:val="8"/>
        </w:numPr>
      </w:pPr>
      <w:r>
        <w:t>Données régionales</w:t>
      </w:r>
    </w:p>
    <w:p w14:paraId="1FF24F90" w14:textId="672BD151" w:rsidR="000241C9" w:rsidRDefault="000241C9" w:rsidP="000241C9">
      <w:pPr>
        <w:pStyle w:val="Paragraphedeliste"/>
        <w:numPr>
          <w:ilvl w:val="0"/>
          <w:numId w:val="8"/>
        </w:numPr>
      </w:pPr>
      <w:proofErr w:type="spellStart"/>
      <w:r>
        <w:t>Cytométrie</w:t>
      </w:r>
      <w:proofErr w:type="spellEnd"/>
      <w:r>
        <w:t xml:space="preserve"> </w:t>
      </w:r>
      <w:r>
        <w:sym w:font="Wingdings" w:char="F0E0"/>
      </w:r>
      <w:r>
        <w:t xml:space="preserve"> présence de </w:t>
      </w:r>
      <w:r w:rsidRPr="000241C9">
        <w:t>diatomées et de dinoflagellés</w:t>
      </w:r>
      <w:r>
        <w:t xml:space="preserve"> </w:t>
      </w:r>
      <w:r w:rsidRPr="000241C9">
        <w:t>dans la classe de taille du nanoplancton</w:t>
      </w:r>
    </w:p>
    <w:p w14:paraId="1709F894" w14:textId="0D7C7497" w:rsidR="000241C9" w:rsidRDefault="000241C9" w:rsidP="000241C9">
      <w:pPr>
        <w:pStyle w:val="Paragraphedeliste"/>
        <w:numPr>
          <w:ilvl w:val="0"/>
          <w:numId w:val="8"/>
        </w:numPr>
      </w:pPr>
      <w:r>
        <w:lastRenderedPageBreak/>
        <w:t>C</w:t>
      </w:r>
      <w:r w:rsidRPr="000241C9">
        <w:t xml:space="preserve">hlorophylle B est généralement attribuée uniquement au </w:t>
      </w:r>
      <w:proofErr w:type="spellStart"/>
      <w:r w:rsidRPr="000241C9">
        <w:t>picoplancton</w:t>
      </w:r>
      <w:proofErr w:type="spellEnd"/>
      <w:r w:rsidRPr="000241C9">
        <w:t xml:space="preserve"> par le DPA, mais le phytoplancton contenant de la chlorophylle B est observé par imagerie dans les deux classes de taille nanoplancton et microplancton.</w:t>
      </w:r>
    </w:p>
    <w:p w14:paraId="68E03044" w14:textId="77777777" w:rsidR="000241C9" w:rsidRDefault="000241C9" w:rsidP="000241C9">
      <w:pPr>
        <w:pStyle w:val="Paragraphedeliste"/>
        <w:numPr>
          <w:ilvl w:val="0"/>
          <w:numId w:val="8"/>
        </w:numPr>
      </w:pPr>
      <w:proofErr w:type="gramStart"/>
      <w:r>
        <w:t>nous</w:t>
      </w:r>
      <w:proofErr w:type="gramEnd"/>
      <w:r>
        <w:t xml:space="preserve"> répartissons le </w:t>
      </w:r>
      <w:proofErr w:type="spellStart"/>
      <w:r>
        <w:t>TChlb</w:t>
      </w:r>
      <w:proofErr w:type="spellEnd"/>
      <w:r>
        <w:t xml:space="preserve"> entre le pico- et le nanoplancton, qui comprend les genres marins communs suivants </w:t>
      </w:r>
    </w:p>
    <w:p w14:paraId="7A916CCA" w14:textId="7BA8881A" w:rsidR="000241C9" w:rsidRDefault="000241C9" w:rsidP="000241C9">
      <w:pPr>
        <w:pStyle w:val="Paragraphedeliste"/>
        <w:numPr>
          <w:ilvl w:val="0"/>
          <w:numId w:val="8"/>
        </w:numPr>
      </w:pPr>
      <w:r>
        <w:t xml:space="preserve"> </w:t>
      </w:r>
      <w:proofErr w:type="gramStart"/>
      <w:r>
        <w:t>dont</w:t>
      </w:r>
      <w:proofErr w:type="gramEnd"/>
      <w:r>
        <w:t xml:space="preserve"> </w:t>
      </w:r>
      <w:proofErr w:type="spellStart"/>
      <w:r>
        <w:t>Micromonas</w:t>
      </w:r>
      <w:proofErr w:type="spellEnd"/>
      <w:r>
        <w:t xml:space="preserve">, </w:t>
      </w:r>
      <w:proofErr w:type="spellStart"/>
      <w:r>
        <w:t>Pryramimonas</w:t>
      </w:r>
      <w:proofErr w:type="spellEnd"/>
      <w:r>
        <w:t xml:space="preserve"> et d'autres </w:t>
      </w:r>
      <w:proofErr w:type="spellStart"/>
      <w:r>
        <w:t>prasinophytes</w:t>
      </w:r>
      <w:proofErr w:type="spellEnd"/>
      <w:r>
        <w:t>, ainsi qu'</w:t>
      </w:r>
      <w:proofErr w:type="spellStart"/>
      <w:r>
        <w:t>Euglena</w:t>
      </w:r>
      <w:proofErr w:type="spellEnd"/>
      <w:r>
        <w:t xml:space="preserve"> et </w:t>
      </w:r>
      <w:proofErr w:type="spellStart"/>
      <w:r>
        <w:t>Pterosperma</w:t>
      </w:r>
      <w:proofErr w:type="spellEnd"/>
      <w:r>
        <w:t xml:space="preserve"> (</w:t>
      </w:r>
      <w:proofErr w:type="spellStart"/>
      <w:r>
        <w:t>Throndsen</w:t>
      </w:r>
      <w:proofErr w:type="spellEnd"/>
      <w:r>
        <w:t xml:space="preserve"> 1997).</w:t>
      </w:r>
    </w:p>
    <w:p w14:paraId="73EA1EC0" w14:textId="224B4BE2" w:rsidR="000241C9" w:rsidRDefault="0049394D" w:rsidP="0049394D">
      <w:pPr>
        <w:jc w:val="center"/>
      </w:pPr>
      <w:r>
        <w:rPr>
          <w:noProof/>
        </w:rPr>
        <w:drawing>
          <wp:inline distT="0" distB="0" distL="0" distR="0" wp14:anchorId="42834A70" wp14:editId="5C94ED2A">
            <wp:extent cx="4542692" cy="1913319"/>
            <wp:effectExtent l="0" t="0" r="4445"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65495" cy="1922923"/>
                    </a:xfrm>
                    <a:prstGeom prst="rect">
                      <a:avLst/>
                    </a:prstGeom>
                  </pic:spPr>
                </pic:pic>
              </a:graphicData>
            </a:graphic>
          </wp:inline>
        </w:drawing>
      </w:r>
    </w:p>
    <w:p w14:paraId="747AC085" w14:textId="77777777" w:rsidR="0049394D" w:rsidRDefault="0049394D" w:rsidP="0049394D">
      <w:pPr>
        <w:jc w:val="center"/>
      </w:pPr>
      <w:r>
        <w:rPr>
          <w:noProof/>
        </w:rPr>
        <w:drawing>
          <wp:inline distT="0" distB="0" distL="0" distR="0" wp14:anchorId="505B8BF6" wp14:editId="23592B05">
            <wp:extent cx="4202213" cy="2639353"/>
            <wp:effectExtent l="0" t="0" r="1905"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34018" cy="2659329"/>
                    </a:xfrm>
                    <a:prstGeom prst="rect">
                      <a:avLst/>
                    </a:prstGeom>
                  </pic:spPr>
                </pic:pic>
              </a:graphicData>
            </a:graphic>
          </wp:inline>
        </w:drawing>
      </w:r>
    </w:p>
    <w:p w14:paraId="3DAAE123" w14:textId="74AB8E30" w:rsidR="0049394D" w:rsidRDefault="0049394D" w:rsidP="0049394D">
      <w:pPr>
        <w:jc w:val="center"/>
      </w:pPr>
      <w:r>
        <w:rPr>
          <w:noProof/>
        </w:rPr>
        <w:drawing>
          <wp:inline distT="0" distB="0" distL="0" distR="0" wp14:anchorId="551EDA55" wp14:editId="3E5B4D6A">
            <wp:extent cx="3249385" cy="2560121"/>
            <wp:effectExtent l="0" t="0" r="1905"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76377" cy="2581388"/>
                    </a:xfrm>
                    <a:prstGeom prst="rect">
                      <a:avLst/>
                    </a:prstGeom>
                  </pic:spPr>
                </pic:pic>
              </a:graphicData>
            </a:graphic>
          </wp:inline>
        </w:drawing>
      </w:r>
    </w:p>
    <w:p w14:paraId="4B3DBAE9" w14:textId="64D7B445" w:rsidR="0049394D" w:rsidRDefault="0049394D" w:rsidP="000241C9">
      <w:r>
        <w:lastRenderedPageBreak/>
        <w:t xml:space="preserve">Référence 2 : </w:t>
      </w:r>
      <w:hyperlink r:id="rId10" w:history="1">
        <w:r w:rsidR="008F6338" w:rsidRPr="00842DA9">
          <w:rPr>
            <w:rStyle w:val="Lienhypertexte"/>
          </w:rPr>
          <w:t>https://pdfs.semanticscholar.org/1a47/01d6c7a5fcffa6a0e270306480b9ed04c8af.pdf</w:t>
        </w:r>
      </w:hyperlink>
    </w:p>
    <w:p w14:paraId="20CACE1D" w14:textId="385FB317" w:rsidR="008F6338" w:rsidRDefault="008F6338" w:rsidP="008F6338">
      <w:pPr>
        <w:pStyle w:val="Paragraphedeliste"/>
        <w:numPr>
          <w:ilvl w:val="0"/>
          <w:numId w:val="8"/>
        </w:numPr>
      </w:pPr>
      <w:proofErr w:type="gramStart"/>
      <w:r w:rsidRPr="008F6338">
        <w:t>la</w:t>
      </w:r>
      <w:proofErr w:type="gramEnd"/>
      <w:r w:rsidRPr="008F6338">
        <w:t xml:space="preserve"> variation de la structure de la communauté phytoplanctonique n'est pas indépendante de la variation de la </w:t>
      </w:r>
      <w:proofErr w:type="spellStart"/>
      <w:r w:rsidRPr="008F6338">
        <w:t>Chl</w:t>
      </w:r>
      <w:proofErr w:type="spellEnd"/>
      <w:r w:rsidRPr="008F6338">
        <w:t>-a de la communauté totale à grande échelle.</w:t>
      </w:r>
    </w:p>
    <w:p w14:paraId="4A6657C4" w14:textId="77777777" w:rsidR="008F6338" w:rsidRDefault="008F6338" w:rsidP="008F6338">
      <w:pPr>
        <w:pStyle w:val="Paragraphedeliste"/>
        <w:numPr>
          <w:ilvl w:val="0"/>
          <w:numId w:val="8"/>
        </w:numPr>
      </w:pPr>
    </w:p>
    <w:p w14:paraId="7E046898" w14:textId="49ED4F6F" w:rsidR="0049394D" w:rsidRDefault="008F6338" w:rsidP="008F6338">
      <w:pPr>
        <w:jc w:val="center"/>
      </w:pPr>
      <w:r>
        <w:rPr>
          <w:noProof/>
        </w:rPr>
        <w:drawing>
          <wp:inline distT="0" distB="0" distL="0" distR="0" wp14:anchorId="300D3A1B" wp14:editId="34983511">
            <wp:extent cx="4653643" cy="36738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67467" cy="3684788"/>
                    </a:xfrm>
                    <a:prstGeom prst="rect">
                      <a:avLst/>
                    </a:prstGeom>
                  </pic:spPr>
                </pic:pic>
              </a:graphicData>
            </a:graphic>
          </wp:inline>
        </w:drawing>
      </w:r>
    </w:p>
    <w:p w14:paraId="121A6604" w14:textId="59602213" w:rsidR="0049394D" w:rsidRDefault="008F6338" w:rsidP="000241C9">
      <w:r>
        <w:rPr>
          <w:noProof/>
        </w:rPr>
        <w:lastRenderedPageBreak/>
        <w:drawing>
          <wp:inline distT="0" distB="0" distL="0" distR="0" wp14:anchorId="2F678CEB" wp14:editId="18485143">
            <wp:extent cx="4874000" cy="2163536"/>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89469" cy="2170403"/>
                    </a:xfrm>
                    <a:prstGeom prst="rect">
                      <a:avLst/>
                    </a:prstGeom>
                  </pic:spPr>
                </pic:pic>
              </a:graphicData>
            </a:graphic>
          </wp:inline>
        </w:drawing>
      </w:r>
      <w:r>
        <w:rPr>
          <w:noProof/>
        </w:rPr>
        <w:drawing>
          <wp:inline distT="0" distB="0" distL="0" distR="0" wp14:anchorId="58081CB3" wp14:editId="0A94C3BE">
            <wp:extent cx="4669972" cy="2907922"/>
            <wp:effectExtent l="0" t="0" r="381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6793" cy="2912169"/>
                    </a:xfrm>
                    <a:prstGeom prst="rect">
                      <a:avLst/>
                    </a:prstGeom>
                  </pic:spPr>
                </pic:pic>
              </a:graphicData>
            </a:graphic>
          </wp:inline>
        </w:drawing>
      </w:r>
    </w:p>
    <w:p w14:paraId="4A5051B8" w14:textId="0A2D9784" w:rsidR="000241C9" w:rsidRDefault="000241C9" w:rsidP="000241C9">
      <w:r>
        <w:t xml:space="preserve">Questions : </w:t>
      </w:r>
    </w:p>
    <w:p w14:paraId="12DCB9DA" w14:textId="51F2ED64" w:rsidR="000241C9" w:rsidRDefault="000241C9" w:rsidP="000241C9">
      <w:pPr>
        <w:pStyle w:val="Paragraphedeliste"/>
        <w:numPr>
          <w:ilvl w:val="0"/>
          <w:numId w:val="8"/>
        </w:numPr>
      </w:pPr>
      <w:r>
        <w:t>Faut-il comparer les résultats obtenus à ceux présents dans les articles ?</w:t>
      </w:r>
    </w:p>
    <w:p w14:paraId="6F89F4DC" w14:textId="3F600DEC" w:rsidR="00A81349" w:rsidRDefault="00A81349" w:rsidP="00A81349"/>
    <w:p w14:paraId="6302ECFA" w14:textId="3DDD1F9D" w:rsidR="00A81349" w:rsidRDefault="00A81349" w:rsidP="00A81349">
      <w:proofErr w:type="spellStart"/>
      <w:r>
        <w:t>Videos</w:t>
      </w:r>
      <w:proofErr w:type="spellEnd"/>
      <w:r>
        <w:t xml:space="preserve"> pour imputation :</w:t>
      </w:r>
    </w:p>
    <w:p w14:paraId="6712AB97" w14:textId="2319FF69" w:rsidR="00A81349" w:rsidRDefault="00A81349" w:rsidP="00A81349">
      <w:pPr>
        <w:pStyle w:val="Paragraphedeliste"/>
        <w:numPr>
          <w:ilvl w:val="0"/>
          <w:numId w:val="8"/>
        </w:numPr>
      </w:pPr>
      <w:r>
        <w:t xml:space="preserve">La fin : </w:t>
      </w:r>
      <w:hyperlink r:id="rId14" w:history="1">
        <w:r w:rsidRPr="000B5D7F">
          <w:rPr>
            <w:rStyle w:val="Lienhypertexte"/>
          </w:rPr>
          <w:t>https://www.youtube.com/watch?v=QVEJJNsz-eM</w:t>
        </w:r>
      </w:hyperlink>
    </w:p>
    <w:p w14:paraId="1F4667E6" w14:textId="77777777" w:rsidR="00A81349" w:rsidRDefault="00A81349" w:rsidP="00A81349">
      <w:pPr>
        <w:pStyle w:val="Paragraphedeliste"/>
        <w:numPr>
          <w:ilvl w:val="0"/>
          <w:numId w:val="8"/>
        </w:numPr>
      </w:pPr>
    </w:p>
    <w:sectPr w:rsidR="00A8134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D4D60"/>
    <w:multiLevelType w:val="hybridMultilevel"/>
    <w:tmpl w:val="9442170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E768D0"/>
    <w:multiLevelType w:val="hybridMultilevel"/>
    <w:tmpl w:val="789A0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D16748"/>
    <w:multiLevelType w:val="hybridMultilevel"/>
    <w:tmpl w:val="D550E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E87493"/>
    <w:multiLevelType w:val="hybridMultilevel"/>
    <w:tmpl w:val="CAF8058C"/>
    <w:lvl w:ilvl="0" w:tplc="7FF0AC9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2C70B1B"/>
    <w:multiLevelType w:val="hybridMultilevel"/>
    <w:tmpl w:val="2856D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5E24DF"/>
    <w:multiLevelType w:val="hybridMultilevel"/>
    <w:tmpl w:val="04686B70"/>
    <w:lvl w:ilvl="0" w:tplc="0EC612E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38E6D90"/>
    <w:multiLevelType w:val="hybridMultilevel"/>
    <w:tmpl w:val="D5A8436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6475863"/>
    <w:multiLevelType w:val="hybridMultilevel"/>
    <w:tmpl w:val="23389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57943090">
    <w:abstractNumId w:val="3"/>
  </w:num>
  <w:num w:numId="2" w16cid:durableId="1189222971">
    <w:abstractNumId w:val="2"/>
  </w:num>
  <w:num w:numId="3" w16cid:durableId="381490176">
    <w:abstractNumId w:val="1"/>
  </w:num>
  <w:num w:numId="4" w16cid:durableId="454255771">
    <w:abstractNumId w:val="7"/>
  </w:num>
  <w:num w:numId="5" w16cid:durableId="1811053422">
    <w:abstractNumId w:val="6"/>
  </w:num>
  <w:num w:numId="6" w16cid:durableId="1092623373">
    <w:abstractNumId w:val="0"/>
  </w:num>
  <w:num w:numId="7" w16cid:durableId="1320039753">
    <w:abstractNumId w:val="4"/>
  </w:num>
  <w:num w:numId="8" w16cid:durableId="21278514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92C"/>
    <w:rsid w:val="000241C9"/>
    <w:rsid w:val="00047446"/>
    <w:rsid w:val="0007492C"/>
    <w:rsid w:val="000A786C"/>
    <w:rsid w:val="000C5D0E"/>
    <w:rsid w:val="000E1679"/>
    <w:rsid w:val="000E7471"/>
    <w:rsid w:val="001009EC"/>
    <w:rsid w:val="001164F4"/>
    <w:rsid w:val="00125BA4"/>
    <w:rsid w:val="00136653"/>
    <w:rsid w:val="00156D4B"/>
    <w:rsid w:val="00167DE7"/>
    <w:rsid w:val="001B757B"/>
    <w:rsid w:val="00272ECA"/>
    <w:rsid w:val="002F1B77"/>
    <w:rsid w:val="00325B8F"/>
    <w:rsid w:val="003317E2"/>
    <w:rsid w:val="00391645"/>
    <w:rsid w:val="003940E7"/>
    <w:rsid w:val="003D4239"/>
    <w:rsid w:val="003D6769"/>
    <w:rsid w:val="00414AF7"/>
    <w:rsid w:val="0049394D"/>
    <w:rsid w:val="004954C5"/>
    <w:rsid w:val="004E6627"/>
    <w:rsid w:val="00575E73"/>
    <w:rsid w:val="005F567C"/>
    <w:rsid w:val="00607B42"/>
    <w:rsid w:val="00612801"/>
    <w:rsid w:val="00665FC1"/>
    <w:rsid w:val="00681238"/>
    <w:rsid w:val="006D751F"/>
    <w:rsid w:val="006F1D81"/>
    <w:rsid w:val="007E0235"/>
    <w:rsid w:val="007E6CA8"/>
    <w:rsid w:val="00823E8A"/>
    <w:rsid w:val="0086213B"/>
    <w:rsid w:val="0086457F"/>
    <w:rsid w:val="00890937"/>
    <w:rsid w:val="008B4BEC"/>
    <w:rsid w:val="008F6338"/>
    <w:rsid w:val="00A23B03"/>
    <w:rsid w:val="00A31A38"/>
    <w:rsid w:val="00A32F74"/>
    <w:rsid w:val="00A35CA5"/>
    <w:rsid w:val="00A36470"/>
    <w:rsid w:val="00A70BD8"/>
    <w:rsid w:val="00A81349"/>
    <w:rsid w:val="00AA6E66"/>
    <w:rsid w:val="00AC63CE"/>
    <w:rsid w:val="00AF6E7A"/>
    <w:rsid w:val="00B02E6C"/>
    <w:rsid w:val="00B138D4"/>
    <w:rsid w:val="00B24498"/>
    <w:rsid w:val="00BB756C"/>
    <w:rsid w:val="00BD5258"/>
    <w:rsid w:val="00C831A3"/>
    <w:rsid w:val="00C95CAE"/>
    <w:rsid w:val="00CB5A8F"/>
    <w:rsid w:val="00D23D94"/>
    <w:rsid w:val="00D77CDF"/>
    <w:rsid w:val="00D83BF8"/>
    <w:rsid w:val="00EF0A86"/>
    <w:rsid w:val="00F429CF"/>
    <w:rsid w:val="00F61D20"/>
    <w:rsid w:val="00F81E6D"/>
    <w:rsid w:val="00FC1DC4"/>
    <w:rsid w:val="00FE1D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789F2"/>
  <w15:chartTrackingRefBased/>
  <w15:docId w15:val="{2F9D1C01-D437-48B6-A54D-83A49AC55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B4BEC"/>
    <w:pPr>
      <w:ind w:left="720"/>
      <w:contextualSpacing/>
    </w:pPr>
  </w:style>
  <w:style w:type="character" w:styleId="Lienhypertexte">
    <w:name w:val="Hyperlink"/>
    <w:basedOn w:val="Policepardfaut"/>
    <w:uiPriority w:val="99"/>
    <w:unhideWhenUsed/>
    <w:rsid w:val="000241C9"/>
    <w:rPr>
      <w:color w:val="0563C1" w:themeColor="hyperlink"/>
      <w:u w:val="single"/>
    </w:rPr>
  </w:style>
  <w:style w:type="character" w:styleId="Mentionnonrsolue">
    <w:name w:val="Unresolved Mention"/>
    <w:basedOn w:val="Policepardfaut"/>
    <w:uiPriority w:val="99"/>
    <w:semiHidden/>
    <w:unhideWhenUsed/>
    <w:rsid w:val="000241C9"/>
    <w:rPr>
      <w:color w:val="605E5C"/>
      <w:shd w:val="clear" w:color="auto" w:fill="E1DFDD"/>
    </w:rPr>
  </w:style>
  <w:style w:type="character" w:styleId="Lienhypertextesuivivisit">
    <w:name w:val="FollowedHyperlink"/>
    <w:basedOn w:val="Policepardfaut"/>
    <w:uiPriority w:val="99"/>
    <w:semiHidden/>
    <w:unhideWhenUsed/>
    <w:rsid w:val="008F63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aslopubs.onlinelibrary.wiley.com/doi/epdf/10.1002/lom3.10385"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pdfs.semanticscholar.org/1a47/01d6c7a5fcffa6a0e270306480b9ed04c8af.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youtube.com/watch?v=QVEJJNsz-e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65E6D-5768-4AE4-9D09-6D6916579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Pages>
  <Words>2372</Words>
  <Characters>13051</Characters>
  <Application>Microsoft Office Word</Application>
  <DocSecurity>0</DocSecurity>
  <Lines>108</Lines>
  <Paragraphs>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crepon Michel</dc:creator>
  <cp:keywords/>
  <dc:description/>
  <cp:lastModifiedBy>Rali BENJELLOUN</cp:lastModifiedBy>
  <cp:revision>5</cp:revision>
  <dcterms:created xsi:type="dcterms:W3CDTF">2022-10-09T19:48:00Z</dcterms:created>
  <dcterms:modified xsi:type="dcterms:W3CDTF">2022-10-15T18:07:00Z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5f8c39f4-a9a6-3f71-a106-8eed26dfdf93</vt:lpwstr>
  </property>
  <property fmtid="{D5CDD505-2E9C-101B-9397-08002B2CF9AE}" pid="4" name="Mendeley Citation Style_1">
    <vt:lpwstr>http://www.zotero.org/styles/harvard1</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